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</w:rPr>
      </w:pPr>
      <w:r>
        <w:rPr>
          <w:rFonts w:hint="eastAsia" w:ascii="黑体" w:hAnsi="黑体" w:eastAsia="黑体" w:cs="黑体"/>
          <w:b w:val="0"/>
          <w:bCs/>
          <w:sz w:val="36"/>
        </w:rPr>
        <w:t>职业技能等级证书的作用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baseline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一、职业技能等级证书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是劳动者技能水平的证明，是申请入户、技能提升补贴、技能培训补贴等关键证明，与职称评审相衔接。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baseline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企业职工通过认定并取得证书后，按照人社部门相关文件，可按照初级（五级）1000元、中级（四级）1500元、高级（三级）2000元的标准申请技能提升补贴。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三、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人才认定。如：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3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南宁市：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南宁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市各类事业单位和在邕注册登记企业工作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。对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取得高级技师以上职业资格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者可申请南宁市E类人才认定；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43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柳州市：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具备高级工国家职业资格或职业学校、技工院校具备中级工国家职业资格的学制教育应届毕业生可申请H类人才，具有国家职业资格认证的技师可申请G类人才，具有国家职业资格认证的高级技师可申请F类人才等；</w:t>
      </w:r>
    </w:p>
    <w:p>
      <w:pPr>
        <w:pStyle w:val="2"/>
        <w:spacing w:afterLines="0" w:line="600" w:lineRule="exact"/>
        <w:rPr>
          <w:rFonts w:hint="eastAsi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桂林市：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获得高级技师职业资格人员可申请第六类人才等。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TNmMmM0NzE3NzE3ZTUxMjM3M2M0YzZkNWQ1NWMifQ=="/>
  </w:docVars>
  <w:rsids>
    <w:rsidRoot w:val="00000000"/>
    <w:rsid w:val="0A4E351A"/>
    <w:rsid w:val="4A6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2023-11-14T09:04:00Z</dcterms:created>
  <dc:creator>会员部</dc:creator>
  <cp:lastModifiedBy>刘家锦</cp:lastModifiedBy>
  <dcterms:modified xsi:type="dcterms:W3CDTF">2023-11-27T09:07:59Z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E833322713E74B68B56DE82938D9A43C_12</vt:lpwstr>
  </property>
</Properties>
</file>